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6516"/>
      </w:tblGrid>
      <w:tr w:rsidR="00152B70" w:rsidRPr="00326ADD" w14:paraId="264F048A" w14:textId="77777777" w:rsidTr="00F07D83">
        <w:tc>
          <w:tcPr>
            <w:tcW w:w="562" w:type="dxa"/>
            <w:shd w:val="clear" w:color="auto" w:fill="1F497D"/>
          </w:tcPr>
          <w:p w14:paraId="4CBFE494" w14:textId="49D421E2" w:rsidR="00152B70" w:rsidRPr="00326ADD" w:rsidRDefault="00152B70" w:rsidP="00CB188A">
            <w:pPr>
              <w:spacing w:after="2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26ADD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3969" w:type="dxa"/>
            <w:shd w:val="clear" w:color="auto" w:fill="1F497D"/>
          </w:tcPr>
          <w:p w14:paraId="78B0D0A9" w14:textId="4910FB0C" w:rsidR="00152B70" w:rsidRPr="00326ADD" w:rsidRDefault="00152B70" w:rsidP="00CB188A">
            <w:pPr>
              <w:spacing w:after="2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26ADD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INFORMACIÓN DE ACTUALIZACIÓN MENSUAL Y CIRCUNSTANCIAL</w:t>
            </w:r>
          </w:p>
        </w:tc>
        <w:tc>
          <w:tcPr>
            <w:tcW w:w="6516" w:type="dxa"/>
            <w:shd w:val="clear" w:color="auto" w:fill="1F497D"/>
          </w:tcPr>
          <w:p w14:paraId="3241EDDD" w14:textId="5AC30C59" w:rsidR="00152B70" w:rsidRPr="00326ADD" w:rsidRDefault="00152B70" w:rsidP="00CB188A">
            <w:pPr>
              <w:spacing w:after="20"/>
              <w:jc w:val="both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26ADD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152B70" w:rsidRPr="00326ADD" w14:paraId="1137D3D6" w14:textId="77777777" w:rsidTr="00F07D83">
        <w:tc>
          <w:tcPr>
            <w:tcW w:w="562" w:type="dxa"/>
          </w:tcPr>
          <w:p w14:paraId="406DE006" w14:textId="05D6CE29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238215E" w14:textId="75BF901E" w:rsidR="00152B70" w:rsidRPr="001637FB" w:rsidRDefault="00152B70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Descripción general del sistema de almacenamiento</w:t>
            </w:r>
          </w:p>
        </w:tc>
        <w:tc>
          <w:tcPr>
            <w:tcW w:w="6516" w:type="dxa"/>
          </w:tcPr>
          <w:p w14:paraId="2786F91D" w14:textId="0E94B950" w:rsidR="00FB6435" w:rsidRPr="001637FB" w:rsidRDefault="00351155" w:rsidP="001637FB">
            <w:pPr>
              <w:ind w:right="49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1637FB">
              <w:rPr>
                <w:rFonts w:ascii="Arial Narrow" w:hAnsi="Arial Narrow" w:cs="Arial"/>
                <w:sz w:val="19"/>
                <w:szCs w:val="19"/>
              </w:rPr>
              <w:t xml:space="preserve">El proyecto consiste en la recepción, almacenamiento y entrega de gasolinas, diésel y turbosina. La recepción de estos productos se </w:t>
            </w:r>
            <w:r w:rsidR="008618AD" w:rsidRPr="001637FB">
              <w:rPr>
                <w:rFonts w:ascii="Arial Narrow" w:hAnsi="Arial Narrow" w:cs="Arial"/>
                <w:sz w:val="19"/>
                <w:szCs w:val="19"/>
              </w:rPr>
              <w:t>realiza por</w:t>
            </w:r>
            <w:r w:rsidRPr="001637FB">
              <w:rPr>
                <w:rFonts w:ascii="Arial Narrow" w:hAnsi="Arial Narrow" w:cs="Arial"/>
                <w:sz w:val="19"/>
                <w:szCs w:val="19"/>
              </w:rPr>
              <w:t xml:space="preserve"> medio de </w:t>
            </w:r>
            <w:proofErr w:type="spellStart"/>
            <w:r w:rsidRPr="001637FB">
              <w:rPr>
                <w:rFonts w:ascii="Arial Narrow" w:hAnsi="Arial Narrow" w:cs="Arial"/>
                <w:sz w:val="19"/>
                <w:szCs w:val="19"/>
              </w:rPr>
              <w:t>buquetanque</w:t>
            </w:r>
            <w:proofErr w:type="spellEnd"/>
            <w:r w:rsidRPr="001637FB">
              <w:rPr>
                <w:rFonts w:ascii="Arial Narrow" w:hAnsi="Arial Narrow" w:cs="Arial"/>
                <w:sz w:val="19"/>
                <w:szCs w:val="19"/>
              </w:rPr>
              <w:t xml:space="preserve"> a través de 6 líneas de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20 pulgadas de diámetro (una línea para cada producto) con una longitud de</w:t>
            </w:r>
            <w:r w:rsidRPr="001637FB">
              <w:rPr>
                <w:rFonts w:ascii="Arial Narrow" w:hAnsi="Arial Narrow" w:cs="Arial"/>
                <w:sz w:val="19"/>
                <w:szCs w:val="19"/>
              </w:rPr>
              <w:t xml:space="preserve"> 1.9 km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aproximadamente, cada una </w:t>
            </w:r>
            <w:r w:rsidR="008618AD" w:rsidRPr="001637FB">
              <w:rPr>
                <w:rFonts w:ascii="Arial Narrow" w:hAnsi="Arial Narrow" w:cs="Arial"/>
                <w:sz w:val="19"/>
                <w:szCs w:val="19"/>
              </w:rPr>
              <w:t>están superficial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o aéreo y </w:t>
            </w:r>
            <w:r w:rsidR="00FF624F" w:rsidRPr="001637FB">
              <w:rPr>
                <w:rFonts w:ascii="Arial Narrow" w:hAnsi="Arial Narrow" w:cs="Arial"/>
                <w:sz w:val="19"/>
                <w:szCs w:val="19"/>
              </w:rPr>
              <w:t>son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distribuidos los productos con un </w:t>
            </w:r>
            <w:r w:rsidR="00BE4DB4" w:rsidRPr="001637FB">
              <w:rPr>
                <w:rFonts w:ascii="Arial Narrow" w:hAnsi="Arial Narrow" w:cs="Arial"/>
                <w:sz w:val="19"/>
                <w:szCs w:val="19"/>
              </w:rPr>
              <w:t>“</w:t>
            </w:r>
            <w:proofErr w:type="spellStart"/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>manifold</w:t>
            </w:r>
            <w:proofErr w:type="spellEnd"/>
            <w:r w:rsidR="00BE4DB4" w:rsidRPr="001637FB">
              <w:rPr>
                <w:rFonts w:ascii="Arial Narrow" w:hAnsi="Arial Narrow" w:cs="Arial"/>
                <w:sz w:val="19"/>
                <w:szCs w:val="19"/>
              </w:rPr>
              <w:t>”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a los tanques de almacenamiento correspondiente. C</w:t>
            </w:r>
            <w:r w:rsidR="00BE4DB4" w:rsidRPr="001637FB">
              <w:rPr>
                <w:rFonts w:ascii="Arial Narrow" w:hAnsi="Arial Narrow" w:cs="Arial"/>
                <w:sz w:val="19"/>
                <w:szCs w:val="19"/>
              </w:rPr>
              <w:t>uenta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con patín de medición para transferencia de custodia en el punto origen (Muelle) y sistema de medición operativa en el punto destino (Terminal)</w:t>
            </w:r>
            <w:r w:rsidR="00BE4DB4" w:rsidRPr="001637FB">
              <w:rPr>
                <w:rFonts w:ascii="Arial Narrow" w:hAnsi="Arial Narrow" w:cs="Arial"/>
                <w:sz w:val="19"/>
                <w:szCs w:val="19"/>
              </w:rPr>
              <w:t>.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El patín de medición cuenta con 6 trenes para medir hasta 200,000 Barriles por día, por tren. Para el caso de la recepción de Turbosina, se </w:t>
            </w:r>
            <w:r w:rsidR="00BE4DB4" w:rsidRPr="001637FB">
              <w:rPr>
                <w:rFonts w:ascii="Arial Narrow" w:hAnsi="Arial Narrow" w:cs="Arial"/>
                <w:sz w:val="19"/>
                <w:szCs w:val="19"/>
              </w:rPr>
              <w:t>cuenta</w:t>
            </w:r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con un sistema de filtración, con la funcionalidad de separación de sólidos y coalescencia de contaminantes de agua. Se </w:t>
            </w:r>
            <w:r w:rsidR="00BE4DB4" w:rsidRPr="001637FB">
              <w:rPr>
                <w:rFonts w:ascii="Arial Narrow" w:hAnsi="Arial Narrow" w:cs="Arial"/>
                <w:sz w:val="19"/>
                <w:szCs w:val="19"/>
              </w:rPr>
              <w:t xml:space="preserve">reciben </w:t>
            </w:r>
            <w:proofErr w:type="spellStart"/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>buquetanques</w:t>
            </w:r>
            <w:proofErr w:type="spellEnd"/>
            <w:r w:rsidR="00FB6435" w:rsidRPr="001637FB">
              <w:rPr>
                <w:rFonts w:ascii="Arial Narrow" w:hAnsi="Arial Narrow" w:cs="Arial"/>
                <w:sz w:val="19"/>
                <w:szCs w:val="19"/>
              </w:rPr>
              <w:t xml:space="preserve"> de capacidad máxima de 350,000 barriles, con diferentes productos, siendo como volumen máximo 150,000 barriles por día de producto</w:t>
            </w:r>
          </w:p>
          <w:p w14:paraId="4E64EF29" w14:textId="5317A22B" w:rsidR="00351155" w:rsidRPr="001637FB" w:rsidRDefault="00FB6435" w:rsidP="008618AD">
            <w:pPr>
              <w:ind w:left="9" w:right="49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 w:cs="Arial"/>
                <w:sz w:val="19"/>
                <w:szCs w:val="19"/>
              </w:rPr>
              <w:t>Dentro del cobertizo de llenaderas, en la isla 9 se dispone de equipo de descarga de autotanques, en el cual, se tiene la capacidad de descargar cualquiera de los productos.</w:t>
            </w:r>
            <w:r w:rsidR="00351155" w:rsidRPr="001637F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</w:tr>
      <w:tr w:rsidR="00152B70" w:rsidRPr="00326ADD" w14:paraId="1360BB84" w14:textId="77777777" w:rsidTr="00F07D83">
        <w:tc>
          <w:tcPr>
            <w:tcW w:w="562" w:type="dxa"/>
          </w:tcPr>
          <w:p w14:paraId="25C66759" w14:textId="1CAFA169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7779A6C" w14:textId="294B2717" w:rsidR="00152B70" w:rsidRPr="001637FB" w:rsidRDefault="00152B70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Ubicación de la Terminal</w:t>
            </w:r>
          </w:p>
        </w:tc>
        <w:tc>
          <w:tcPr>
            <w:tcW w:w="6516" w:type="dxa"/>
          </w:tcPr>
          <w:p w14:paraId="526BF9F3" w14:textId="517D370C" w:rsidR="00152B70" w:rsidRPr="001637FB" w:rsidRDefault="00BC5543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Carretera Santiago Cobos Km 7.8, </w:t>
            </w:r>
            <w:r w:rsidR="00130E9F" w:rsidRPr="001637FB">
              <w:rPr>
                <w:rFonts w:ascii="Arial Narrow" w:hAnsi="Arial Narrow"/>
                <w:sz w:val="19"/>
                <w:szCs w:val="19"/>
              </w:rPr>
              <w:t xml:space="preserve">C.P. 92770, 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Tuxpan, Veracruz. </w:t>
            </w:r>
          </w:p>
        </w:tc>
      </w:tr>
      <w:tr w:rsidR="00152B70" w:rsidRPr="00326ADD" w14:paraId="33A1798A" w14:textId="77777777" w:rsidTr="00F07D83">
        <w:tc>
          <w:tcPr>
            <w:tcW w:w="562" w:type="dxa"/>
          </w:tcPr>
          <w:p w14:paraId="01068170" w14:textId="18CFFA8F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1A047ED" w14:textId="26A3B71E" w:rsidR="00152B70" w:rsidRPr="001637FB" w:rsidRDefault="00152B70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Capacidad Operativa del Sistema</w:t>
            </w:r>
          </w:p>
        </w:tc>
        <w:tc>
          <w:tcPr>
            <w:tcW w:w="6516" w:type="dxa"/>
          </w:tcPr>
          <w:p w14:paraId="101FA745" w14:textId="77777777" w:rsidR="00152B70" w:rsidRPr="001637FB" w:rsidRDefault="00152B70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Capacidad operativa por producto:</w:t>
            </w:r>
          </w:p>
          <w:p w14:paraId="036CA2C9" w14:textId="2DA316E1" w:rsidR="00E27CFF" w:rsidRPr="001637FB" w:rsidRDefault="0017731B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G</w:t>
            </w:r>
            <w:r w:rsidR="00E27CFF" w:rsidRPr="001637FB">
              <w:rPr>
                <w:rFonts w:ascii="Arial Narrow" w:hAnsi="Arial Narrow"/>
                <w:sz w:val="19"/>
                <w:szCs w:val="19"/>
              </w:rPr>
              <w:t>asolina Premium Z</w:t>
            </w:r>
            <w:r w:rsidR="0070481B" w:rsidRPr="001637FB">
              <w:rPr>
                <w:rFonts w:ascii="Arial Narrow" w:hAnsi="Arial Narrow"/>
                <w:sz w:val="19"/>
                <w:szCs w:val="19"/>
              </w:rPr>
              <w:t>M</w:t>
            </w:r>
            <w:r w:rsidR="00E27CFF" w:rsidRPr="001637FB">
              <w:rPr>
                <w:rFonts w:ascii="Arial Narrow" w:hAnsi="Arial Narrow"/>
                <w:sz w:val="19"/>
                <w:szCs w:val="19"/>
              </w:rPr>
              <w:t>VM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="00044F71" w:rsidRPr="001637FB">
              <w:rPr>
                <w:rFonts w:ascii="Arial Narrow" w:hAnsi="Arial Narrow"/>
                <w:sz w:val="19"/>
                <w:szCs w:val="19"/>
              </w:rPr>
              <w:t>216</w:t>
            </w:r>
            <w:r w:rsidRPr="001637FB">
              <w:rPr>
                <w:rFonts w:ascii="Arial Narrow" w:hAnsi="Arial Narrow"/>
                <w:sz w:val="19"/>
                <w:szCs w:val="19"/>
              </w:rPr>
              <w:t>,000 barriles.</w:t>
            </w:r>
          </w:p>
          <w:p w14:paraId="79AD9BC8" w14:textId="3E545F1C" w:rsidR="00E27CFF" w:rsidRPr="001637FB" w:rsidRDefault="0017731B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G</w:t>
            </w:r>
            <w:r w:rsidR="00E27CFF" w:rsidRPr="001637FB">
              <w:rPr>
                <w:rFonts w:ascii="Arial Narrow" w:hAnsi="Arial Narrow"/>
                <w:sz w:val="19"/>
                <w:szCs w:val="19"/>
              </w:rPr>
              <w:t>asolina Premium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="00351155" w:rsidRPr="001637FB">
              <w:rPr>
                <w:rFonts w:ascii="Arial Narrow" w:hAnsi="Arial Narrow"/>
                <w:sz w:val="19"/>
                <w:szCs w:val="19"/>
              </w:rPr>
              <w:t>216</w:t>
            </w:r>
            <w:r w:rsidRPr="001637FB">
              <w:rPr>
                <w:rFonts w:ascii="Arial Narrow" w:hAnsi="Arial Narrow"/>
                <w:sz w:val="19"/>
                <w:szCs w:val="19"/>
              </w:rPr>
              <w:t>,000 barriles.</w:t>
            </w:r>
            <w:r w:rsidR="009C63A3" w:rsidRPr="001637F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9C63A3" w:rsidRPr="001637FB">
              <w:rPr>
                <w:rFonts w:ascii="Arial Narrow" w:hAnsi="Arial Narrow"/>
                <w:b/>
                <w:bCs/>
                <w:sz w:val="19"/>
                <w:szCs w:val="19"/>
              </w:rPr>
              <w:t>(en proceso de diseño).</w:t>
            </w:r>
          </w:p>
          <w:p w14:paraId="143E52A7" w14:textId="69E0E8CB" w:rsidR="00E27CFF" w:rsidRPr="001637FB" w:rsidRDefault="0017731B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G</w:t>
            </w:r>
            <w:r w:rsidR="00E27CFF" w:rsidRPr="001637FB">
              <w:rPr>
                <w:rFonts w:ascii="Arial Narrow" w:hAnsi="Arial Narrow"/>
                <w:sz w:val="19"/>
                <w:szCs w:val="19"/>
              </w:rPr>
              <w:t xml:space="preserve">asolina Regular </w:t>
            </w:r>
            <w:r w:rsidR="0070481B" w:rsidRPr="001637FB">
              <w:rPr>
                <w:rFonts w:ascii="Arial Narrow" w:hAnsi="Arial Narrow"/>
                <w:sz w:val="19"/>
                <w:szCs w:val="19"/>
              </w:rPr>
              <w:t>ZM</w:t>
            </w:r>
            <w:r w:rsidR="00E27CFF" w:rsidRPr="001637FB">
              <w:rPr>
                <w:rFonts w:ascii="Arial Narrow" w:hAnsi="Arial Narrow"/>
                <w:sz w:val="19"/>
                <w:szCs w:val="19"/>
              </w:rPr>
              <w:t>VM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="00044F71" w:rsidRPr="001637FB">
              <w:rPr>
                <w:rFonts w:ascii="Arial Narrow" w:hAnsi="Arial Narrow"/>
                <w:sz w:val="19"/>
                <w:szCs w:val="19"/>
              </w:rPr>
              <w:t>180</w:t>
            </w:r>
            <w:r w:rsidRPr="001637FB">
              <w:rPr>
                <w:rFonts w:ascii="Arial Narrow" w:hAnsi="Arial Narrow"/>
                <w:sz w:val="19"/>
                <w:szCs w:val="19"/>
              </w:rPr>
              <w:t>,000 barriles.</w:t>
            </w:r>
          </w:p>
          <w:p w14:paraId="35F5820C" w14:textId="53113487" w:rsidR="00E27CFF" w:rsidRPr="001637FB" w:rsidRDefault="0017731B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G</w:t>
            </w:r>
            <w:r w:rsidR="00E27CFF" w:rsidRPr="001637FB">
              <w:rPr>
                <w:rFonts w:ascii="Arial Narrow" w:hAnsi="Arial Narrow"/>
                <w:sz w:val="19"/>
                <w:szCs w:val="19"/>
              </w:rPr>
              <w:t>asolina Regular R</w:t>
            </w:r>
            <w:r w:rsidRPr="001637FB">
              <w:rPr>
                <w:rFonts w:ascii="Arial Narrow" w:hAnsi="Arial Narrow"/>
                <w:sz w:val="19"/>
                <w:szCs w:val="19"/>
              </w:rPr>
              <w:t>OC: 180,000 barriles.</w:t>
            </w:r>
          </w:p>
          <w:p w14:paraId="4E519E1C" w14:textId="2D20BEF1" w:rsidR="009C63A3" w:rsidRPr="001637FB" w:rsidRDefault="009C63A3" w:rsidP="009C63A3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Gasolina Regular: 180,000 barriles. </w:t>
            </w:r>
            <w:r w:rsidRPr="001637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(en proceso de diseño). </w:t>
            </w:r>
          </w:p>
          <w:p w14:paraId="268AD4BC" w14:textId="1F98EB80" w:rsidR="00E27CFF" w:rsidRPr="001637FB" w:rsidRDefault="00E27CFF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Diesel UBA</w:t>
            </w:r>
            <w:r w:rsidR="0017731B" w:rsidRPr="001637FB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="00802B15" w:rsidRPr="001637FB">
              <w:rPr>
                <w:rFonts w:ascii="Arial Narrow" w:hAnsi="Arial Narrow"/>
                <w:sz w:val="19"/>
                <w:szCs w:val="19"/>
              </w:rPr>
              <w:t>432</w:t>
            </w:r>
            <w:r w:rsidR="0017731B" w:rsidRPr="001637FB">
              <w:rPr>
                <w:rFonts w:ascii="Arial Narrow" w:hAnsi="Arial Narrow"/>
                <w:sz w:val="19"/>
                <w:szCs w:val="19"/>
              </w:rPr>
              <w:t>,000 barriles.</w:t>
            </w:r>
          </w:p>
          <w:p w14:paraId="2CF44FAD" w14:textId="466AEBDC" w:rsidR="00326ADD" w:rsidRPr="001637FB" w:rsidRDefault="00E27CFF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Turbosina</w:t>
            </w:r>
            <w:r w:rsidR="0017731B" w:rsidRPr="001637FB">
              <w:rPr>
                <w:rFonts w:ascii="Arial Narrow" w:hAnsi="Arial Narrow"/>
                <w:sz w:val="19"/>
                <w:szCs w:val="19"/>
              </w:rPr>
              <w:t>: 180,000 barriles.</w:t>
            </w:r>
          </w:p>
        </w:tc>
      </w:tr>
      <w:tr w:rsidR="00152B70" w:rsidRPr="00326ADD" w14:paraId="3FDCC8CC" w14:textId="77777777" w:rsidTr="00F07D83">
        <w:tc>
          <w:tcPr>
            <w:tcW w:w="562" w:type="dxa"/>
          </w:tcPr>
          <w:p w14:paraId="54C066DE" w14:textId="7DCC0960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4373447" w14:textId="71B4C4F9" w:rsidR="00152B70" w:rsidRPr="001637FB" w:rsidRDefault="00152B70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Capacidad de desalojo del producto almacenado (flujo máximo en volumen / tiempo).</w:t>
            </w:r>
          </w:p>
        </w:tc>
        <w:tc>
          <w:tcPr>
            <w:tcW w:w="6516" w:type="dxa"/>
          </w:tcPr>
          <w:p w14:paraId="04DD7BA3" w14:textId="7C8896A6" w:rsidR="00152B70" w:rsidRPr="001637FB" w:rsidRDefault="00D03478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9</w:t>
            </w:r>
            <w:r w:rsidR="00351155" w:rsidRPr="001637FB">
              <w:rPr>
                <w:rFonts w:ascii="Arial Narrow" w:hAnsi="Arial Narrow"/>
                <w:sz w:val="19"/>
                <w:szCs w:val="19"/>
              </w:rPr>
              <w:t>0,000 a 140,000</w:t>
            </w:r>
            <w:r w:rsidR="00326ADD" w:rsidRPr="001637FB">
              <w:rPr>
                <w:rFonts w:ascii="Arial Narrow" w:hAnsi="Arial Narrow"/>
                <w:sz w:val="19"/>
                <w:szCs w:val="19"/>
              </w:rPr>
              <w:t xml:space="preserve"> barriles por día</w:t>
            </w:r>
            <w:r w:rsidR="00291E01" w:rsidRPr="001637FB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152B70" w:rsidRPr="00326ADD" w14:paraId="1FFCAF42" w14:textId="77777777" w:rsidTr="00F07D83">
        <w:tc>
          <w:tcPr>
            <w:tcW w:w="562" w:type="dxa"/>
          </w:tcPr>
          <w:p w14:paraId="141016E0" w14:textId="1790A861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84A3DE8" w14:textId="6B9D2F14" w:rsidR="00152B70" w:rsidRPr="001637FB" w:rsidRDefault="00152B70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Capacidad disponible en el sistema</w:t>
            </w:r>
          </w:p>
        </w:tc>
        <w:tc>
          <w:tcPr>
            <w:tcW w:w="6516" w:type="dxa"/>
          </w:tcPr>
          <w:p w14:paraId="3CFD5B6A" w14:textId="77777777" w:rsidR="00326ADD" w:rsidRPr="001637FB" w:rsidRDefault="00326ADD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Capacidad disponible por producto:</w:t>
            </w:r>
          </w:p>
          <w:p w14:paraId="0F2234B0" w14:textId="734DF70E" w:rsidR="001D062A" w:rsidRPr="001637FB" w:rsidRDefault="001D062A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Gasolina Premium Z</w:t>
            </w:r>
            <w:r w:rsidR="0070481B" w:rsidRPr="001637FB">
              <w:rPr>
                <w:rFonts w:ascii="Arial Narrow" w:hAnsi="Arial Narrow"/>
                <w:sz w:val="19"/>
                <w:szCs w:val="19"/>
              </w:rPr>
              <w:t>M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VM: </w:t>
            </w:r>
            <w:r w:rsidR="00351155" w:rsidRPr="001637FB">
              <w:rPr>
                <w:rFonts w:ascii="Arial Narrow" w:hAnsi="Arial Narrow"/>
                <w:sz w:val="19"/>
                <w:szCs w:val="19"/>
              </w:rPr>
              <w:t>0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 barriles.</w:t>
            </w:r>
          </w:p>
          <w:p w14:paraId="2E4BF4F1" w14:textId="09F399A3" w:rsidR="001D062A" w:rsidRPr="001637FB" w:rsidRDefault="001D062A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Gasolina Premium R</w:t>
            </w:r>
            <w:r w:rsidR="0097282A" w:rsidRPr="001637FB">
              <w:rPr>
                <w:rFonts w:ascii="Arial Narrow" w:hAnsi="Arial Narrow"/>
                <w:sz w:val="19"/>
                <w:szCs w:val="19"/>
              </w:rPr>
              <w:t>OC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="00351155" w:rsidRPr="001637FB">
              <w:rPr>
                <w:rFonts w:ascii="Arial Narrow" w:hAnsi="Arial Narrow"/>
                <w:sz w:val="19"/>
                <w:szCs w:val="19"/>
              </w:rPr>
              <w:t>0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 barriles.</w:t>
            </w:r>
            <w:r w:rsidR="0039733D" w:rsidRPr="001637FB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14:paraId="33009373" w14:textId="38A5FCEE" w:rsidR="001D062A" w:rsidRPr="001637FB" w:rsidRDefault="001D062A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Gasolina Regular </w:t>
            </w:r>
            <w:r w:rsidR="0070481B" w:rsidRPr="001637FB">
              <w:rPr>
                <w:rFonts w:ascii="Arial Narrow" w:hAnsi="Arial Narrow"/>
                <w:sz w:val="19"/>
                <w:szCs w:val="19"/>
              </w:rPr>
              <w:t>ZM</w:t>
            </w:r>
            <w:r w:rsidRPr="001637FB">
              <w:rPr>
                <w:rFonts w:ascii="Arial Narrow" w:hAnsi="Arial Narrow"/>
                <w:sz w:val="19"/>
                <w:szCs w:val="19"/>
              </w:rPr>
              <w:t>VM: 0 barriles.</w:t>
            </w:r>
          </w:p>
          <w:p w14:paraId="38256AB6" w14:textId="03A5FFF2" w:rsidR="001D062A" w:rsidRPr="001637FB" w:rsidRDefault="001D062A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Gasolina Regular </w:t>
            </w:r>
            <w:r w:rsidR="00D348CD" w:rsidRPr="001637FB">
              <w:rPr>
                <w:rFonts w:ascii="Arial Narrow" w:hAnsi="Arial Narrow"/>
                <w:sz w:val="19"/>
                <w:szCs w:val="19"/>
              </w:rPr>
              <w:t>ROC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="0064014C" w:rsidRPr="001637FB">
              <w:rPr>
                <w:rFonts w:ascii="Arial Narrow" w:hAnsi="Arial Narrow"/>
                <w:sz w:val="19"/>
                <w:szCs w:val="19"/>
              </w:rPr>
              <w:t>0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 barriles.</w:t>
            </w:r>
            <w:r w:rsidR="0039733D" w:rsidRPr="001637FB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14:paraId="0E7B89FC" w14:textId="69A36AE9" w:rsidR="001D062A" w:rsidRPr="001637FB" w:rsidRDefault="001D062A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Diesel UBA</w:t>
            </w:r>
            <w:r w:rsidR="00D348CD" w:rsidRPr="001637FB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="00620412" w:rsidRPr="001637FB">
              <w:rPr>
                <w:rFonts w:ascii="Arial Narrow" w:hAnsi="Arial Narrow"/>
                <w:sz w:val="19"/>
                <w:szCs w:val="19"/>
              </w:rPr>
              <w:t>0</w:t>
            </w:r>
            <w:r w:rsidR="00D348CD" w:rsidRPr="001637FB">
              <w:rPr>
                <w:rFonts w:ascii="Arial Narrow" w:hAnsi="Arial Narrow"/>
                <w:sz w:val="19"/>
                <w:szCs w:val="19"/>
              </w:rPr>
              <w:t xml:space="preserve"> barriles.</w:t>
            </w:r>
          </w:p>
          <w:p w14:paraId="6335BF67" w14:textId="63B55034" w:rsidR="00152B70" w:rsidRPr="001637FB" w:rsidRDefault="001D062A" w:rsidP="00CB188A">
            <w:pPr>
              <w:spacing w:after="20"/>
              <w:ind w:left="313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Turbosina</w:t>
            </w:r>
            <w:r w:rsidR="00D348CD" w:rsidRPr="001637FB">
              <w:rPr>
                <w:rFonts w:ascii="Arial Narrow" w:hAnsi="Arial Narrow"/>
                <w:sz w:val="19"/>
                <w:szCs w:val="19"/>
              </w:rPr>
              <w:t>: 0 barriles.</w:t>
            </w:r>
          </w:p>
        </w:tc>
      </w:tr>
      <w:tr w:rsidR="00152B70" w:rsidRPr="00326ADD" w14:paraId="494D2557" w14:textId="77777777" w:rsidTr="00F07D83">
        <w:trPr>
          <w:trHeight w:val="138"/>
        </w:trPr>
        <w:tc>
          <w:tcPr>
            <w:tcW w:w="562" w:type="dxa"/>
          </w:tcPr>
          <w:p w14:paraId="3BDC2C7A" w14:textId="2398587F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08A31253" w14:textId="08E30D00" w:rsidR="00152B70" w:rsidRPr="001637FB" w:rsidRDefault="00152B70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Contacto de la Terminal</w:t>
            </w:r>
          </w:p>
        </w:tc>
        <w:tc>
          <w:tcPr>
            <w:tcW w:w="6516" w:type="dxa"/>
          </w:tcPr>
          <w:p w14:paraId="7302B0FF" w14:textId="518DAF22" w:rsidR="00300A0F" w:rsidRPr="001637FB" w:rsidRDefault="00EE04B0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hyperlink r:id="rId10" w:history="1">
              <w:r w:rsidR="00300A0F" w:rsidRPr="001637FB">
                <w:rPr>
                  <w:rStyle w:val="Hipervnculo"/>
                  <w:rFonts w:ascii="Arial Narrow" w:hAnsi="Arial Narrow"/>
                  <w:sz w:val="19"/>
                  <w:szCs w:val="19"/>
                </w:rPr>
                <w:t>contacto@itzoil.com</w:t>
              </w:r>
            </w:hyperlink>
          </w:p>
        </w:tc>
      </w:tr>
      <w:tr w:rsidR="00152B70" w:rsidRPr="00326ADD" w14:paraId="700D020C" w14:textId="77777777" w:rsidTr="00F07D83">
        <w:tc>
          <w:tcPr>
            <w:tcW w:w="562" w:type="dxa"/>
          </w:tcPr>
          <w:p w14:paraId="2F9E5A71" w14:textId="2687D003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690060BD" w14:textId="620DC7ED" w:rsidR="00152B70" w:rsidRPr="001637FB" w:rsidRDefault="002C173D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</w:t>
            </w:r>
            <w:r w:rsidR="00152B70" w:rsidRPr="001637FB">
              <w:rPr>
                <w:rFonts w:ascii="Arial Narrow" w:hAnsi="Arial Narrow"/>
                <w:sz w:val="19"/>
                <w:szCs w:val="19"/>
              </w:rPr>
              <w:t>ontacto para atención de quejas</w:t>
            </w:r>
            <w:r w:rsidRPr="001637FB">
              <w:rPr>
                <w:rFonts w:ascii="Arial Narrow" w:hAnsi="Arial Narrow"/>
                <w:sz w:val="19"/>
                <w:szCs w:val="19"/>
              </w:rPr>
              <w:t xml:space="preserve"> y aclaraciones</w:t>
            </w:r>
          </w:p>
        </w:tc>
        <w:tc>
          <w:tcPr>
            <w:tcW w:w="6516" w:type="dxa"/>
          </w:tcPr>
          <w:p w14:paraId="4E8C1BA2" w14:textId="6C5B07B4" w:rsidR="00152B70" w:rsidRPr="001637FB" w:rsidRDefault="00EE04B0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hyperlink r:id="rId11" w:history="1">
              <w:r w:rsidR="00300A0F" w:rsidRPr="001637FB">
                <w:rPr>
                  <w:rStyle w:val="Hipervnculo"/>
                  <w:rFonts w:ascii="Arial Narrow" w:hAnsi="Arial Narrow"/>
                  <w:sz w:val="19"/>
                  <w:szCs w:val="19"/>
                </w:rPr>
                <w:t>contacto@itzoil.com</w:t>
              </w:r>
            </w:hyperlink>
          </w:p>
        </w:tc>
      </w:tr>
      <w:tr w:rsidR="00152B70" w:rsidRPr="00326ADD" w14:paraId="77373E02" w14:textId="77777777" w:rsidTr="00F07D83">
        <w:tc>
          <w:tcPr>
            <w:tcW w:w="562" w:type="dxa"/>
          </w:tcPr>
          <w:p w14:paraId="78A0F5B8" w14:textId="4CF61374" w:rsidR="00152B70" w:rsidRPr="00326ADD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326AD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51FF96E4" w14:textId="4BA30CFB" w:rsidR="00152B70" w:rsidRPr="001637FB" w:rsidRDefault="002C173D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</w:t>
            </w:r>
            <w:r w:rsidR="00152B70" w:rsidRPr="001637FB">
              <w:rPr>
                <w:rFonts w:ascii="Arial Narrow" w:hAnsi="Arial Narrow"/>
                <w:sz w:val="19"/>
                <w:szCs w:val="19"/>
              </w:rPr>
              <w:t>ontacto para situaciones de emergencia</w:t>
            </w:r>
          </w:p>
        </w:tc>
        <w:tc>
          <w:tcPr>
            <w:tcW w:w="6516" w:type="dxa"/>
          </w:tcPr>
          <w:p w14:paraId="554C9D31" w14:textId="3AD03C1A" w:rsidR="00300A0F" w:rsidRPr="001637FB" w:rsidRDefault="00671F4C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hyperlink r:id="rId12" w:history="1">
              <w:r w:rsidRPr="00671F4C">
                <w:rPr>
                  <w:rStyle w:val="Hipervnculo"/>
                  <w:rFonts w:ascii="Arial Narrow" w:hAnsi="Arial Narrow"/>
                  <w:sz w:val="19"/>
                  <w:szCs w:val="19"/>
                </w:rPr>
                <w:t>jalvelais</w:t>
              </w:r>
              <w:r w:rsidRPr="00D867C2">
                <w:rPr>
                  <w:rStyle w:val="Hipervnculo"/>
                  <w:rFonts w:ascii="Arial Narrow" w:hAnsi="Arial Narrow"/>
                  <w:sz w:val="19"/>
                  <w:szCs w:val="19"/>
                </w:rPr>
                <w:t>@itzoil.com</w:t>
              </w:r>
            </w:hyperlink>
          </w:p>
        </w:tc>
      </w:tr>
      <w:tr w:rsidR="00152B70" w:rsidRPr="00326ADD" w14:paraId="3CB8414E" w14:textId="77777777" w:rsidTr="00F07D83">
        <w:tc>
          <w:tcPr>
            <w:tcW w:w="562" w:type="dxa"/>
          </w:tcPr>
          <w:p w14:paraId="4C0F7015" w14:textId="175526E1" w:rsidR="00152B70" w:rsidRPr="008E15F9" w:rsidRDefault="00152B70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074BC1D4" w14:textId="37685F9E" w:rsidR="00152B70" w:rsidRPr="001637FB" w:rsidRDefault="00152B70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Modelo base del Contrato para la prestación del servicio</w:t>
            </w:r>
          </w:p>
        </w:tc>
        <w:tc>
          <w:tcPr>
            <w:tcW w:w="6516" w:type="dxa"/>
          </w:tcPr>
          <w:p w14:paraId="0057A096" w14:textId="11B0A162" w:rsidR="00152B70" w:rsidRPr="001637FB" w:rsidRDefault="002822AC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Consulte Archivo Descargable en la sección Modelo Base de Contrato para la Prestación de los Servicios.</w:t>
            </w:r>
          </w:p>
        </w:tc>
      </w:tr>
      <w:tr w:rsidR="00326ADD" w:rsidRPr="00326ADD" w14:paraId="16B1D7F4" w14:textId="77777777" w:rsidTr="00F07D83">
        <w:tc>
          <w:tcPr>
            <w:tcW w:w="562" w:type="dxa"/>
          </w:tcPr>
          <w:p w14:paraId="0C0F4CCE" w14:textId="75C620C9" w:rsidR="00326ADD" w:rsidRPr="008E15F9" w:rsidRDefault="00326ADD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1</w:t>
            </w:r>
            <w:r w:rsidR="008E15F9" w:rsidRPr="008E15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2022B64" w14:textId="56B88ABA" w:rsidR="00326ADD" w:rsidRPr="001637FB" w:rsidRDefault="00326ADD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Tarifas base para la prestación de los servicios</w:t>
            </w:r>
          </w:p>
        </w:tc>
        <w:tc>
          <w:tcPr>
            <w:tcW w:w="6516" w:type="dxa"/>
          </w:tcPr>
          <w:p w14:paraId="0EEDEDEC" w14:textId="7EE7274E" w:rsidR="008F5BB4" w:rsidRPr="001637FB" w:rsidRDefault="00B91A03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Tarifa por Uso (recepción/entrega): </w:t>
            </w:r>
            <w:r w:rsidR="008F5BB4" w:rsidRPr="001637FB">
              <w:rPr>
                <w:rFonts w:ascii="Arial Narrow" w:hAnsi="Arial Narrow"/>
                <w:sz w:val="19"/>
                <w:szCs w:val="19"/>
              </w:rPr>
              <w:t>$</w:t>
            </w:r>
            <w:r w:rsidR="001D08F8" w:rsidRPr="001637FB">
              <w:rPr>
                <w:rFonts w:ascii="Arial Narrow" w:hAnsi="Arial Narrow"/>
                <w:sz w:val="19"/>
                <w:szCs w:val="19"/>
              </w:rPr>
              <w:t xml:space="preserve">65.8291 </w:t>
            </w:r>
            <w:r w:rsidR="00351F26" w:rsidRPr="001637FB">
              <w:rPr>
                <w:rFonts w:ascii="Arial Narrow" w:hAnsi="Arial Narrow"/>
                <w:sz w:val="19"/>
                <w:szCs w:val="19"/>
              </w:rPr>
              <w:t>MXN</w:t>
            </w:r>
            <w:r w:rsidR="008F5BB4" w:rsidRPr="001637FB">
              <w:rPr>
                <w:rFonts w:ascii="Arial Narrow" w:hAnsi="Arial Narrow"/>
                <w:sz w:val="19"/>
                <w:szCs w:val="19"/>
              </w:rPr>
              <w:t xml:space="preserve"> por barril.</w:t>
            </w:r>
          </w:p>
          <w:p w14:paraId="4B996D5F" w14:textId="635E931F" w:rsidR="008F5BB4" w:rsidRPr="001637FB" w:rsidRDefault="00B91A03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Tarifa por Capacidad: </w:t>
            </w:r>
            <w:r w:rsidR="008F5BB4" w:rsidRPr="001637FB">
              <w:rPr>
                <w:rFonts w:ascii="Arial Narrow" w:hAnsi="Arial Narrow"/>
                <w:sz w:val="19"/>
                <w:szCs w:val="19"/>
              </w:rPr>
              <w:t>$</w:t>
            </w:r>
            <w:r w:rsidR="000718C2" w:rsidRPr="001637FB">
              <w:rPr>
                <w:rFonts w:ascii="Arial Narrow" w:hAnsi="Arial Narrow"/>
                <w:sz w:val="19"/>
                <w:szCs w:val="19"/>
              </w:rPr>
              <w:t>1.4</w:t>
            </w:r>
            <w:r w:rsidR="001D08F8" w:rsidRPr="001637FB">
              <w:rPr>
                <w:rFonts w:ascii="Arial Narrow" w:hAnsi="Arial Narrow"/>
                <w:sz w:val="19"/>
                <w:szCs w:val="19"/>
              </w:rPr>
              <w:t>521</w:t>
            </w:r>
            <w:r w:rsidR="008F5BB4" w:rsidRPr="001637F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351F26" w:rsidRPr="001637FB">
              <w:rPr>
                <w:rFonts w:ascii="Arial Narrow" w:hAnsi="Arial Narrow"/>
                <w:sz w:val="19"/>
                <w:szCs w:val="19"/>
              </w:rPr>
              <w:t>MXN</w:t>
            </w:r>
            <w:r w:rsidR="008F5BB4" w:rsidRPr="001637FB">
              <w:rPr>
                <w:rFonts w:ascii="Arial Narrow" w:hAnsi="Arial Narrow"/>
                <w:sz w:val="19"/>
                <w:szCs w:val="19"/>
              </w:rPr>
              <w:t xml:space="preserve"> por barril por día.</w:t>
            </w:r>
          </w:p>
          <w:p w14:paraId="684769C7" w14:textId="0B66B980" w:rsidR="00BD3187" w:rsidRPr="001637FB" w:rsidRDefault="00BD3187" w:rsidP="00F07D83">
            <w:pPr>
              <w:spacing w:after="20"/>
              <w:ind w:left="708"/>
              <w:jc w:val="both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T.C. </w:t>
            </w:r>
            <w:r w:rsidR="00503515"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>$</w:t>
            </w:r>
            <w:r w:rsidR="004868A6"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>19.</w:t>
            </w:r>
            <w:r w:rsidR="001D08F8"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>3615</w:t>
            </w:r>
            <w:r w:rsidR="00DA2C44"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pesos por dólar</w:t>
            </w:r>
            <w:r w:rsidR="00946893"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</w:t>
            </w:r>
            <w:r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>al 31 de diciembre de 202</w:t>
            </w:r>
            <w:r w:rsidR="001D08F8"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>2</w:t>
            </w:r>
            <w:r w:rsidRPr="001637FB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para solventar obligaciones denominadas en moneda extranjera.</w:t>
            </w:r>
          </w:p>
        </w:tc>
      </w:tr>
      <w:tr w:rsidR="008E15F9" w:rsidRPr="00326ADD" w14:paraId="47A52B25" w14:textId="77777777" w:rsidTr="00F07D83">
        <w:tc>
          <w:tcPr>
            <w:tcW w:w="562" w:type="dxa"/>
          </w:tcPr>
          <w:p w14:paraId="73114808" w14:textId="785E78DA" w:rsidR="008E15F9" w:rsidRPr="008E15F9" w:rsidRDefault="008E15F9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790551F7" w14:textId="4C13519D" w:rsidR="008E15F9" w:rsidRPr="001637FB" w:rsidRDefault="008E15F9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Procedimiento para recibir solicitudes de servicio, (formato y plazos para la recepción y atención)</w:t>
            </w:r>
          </w:p>
        </w:tc>
        <w:tc>
          <w:tcPr>
            <w:tcW w:w="6516" w:type="dxa"/>
          </w:tcPr>
          <w:p w14:paraId="5C2662B2" w14:textId="1ACC30FC" w:rsidR="008E15F9" w:rsidRPr="001637FB" w:rsidRDefault="008E15F9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Consulte archivo en la sección procedimientos para recibir solicitudes de servicio.</w:t>
            </w:r>
          </w:p>
        </w:tc>
      </w:tr>
      <w:tr w:rsidR="008E15F9" w:rsidRPr="00326ADD" w14:paraId="424E328D" w14:textId="77777777" w:rsidTr="00F07D83">
        <w:tc>
          <w:tcPr>
            <w:tcW w:w="562" w:type="dxa"/>
          </w:tcPr>
          <w:p w14:paraId="240F3590" w14:textId="073EBB65" w:rsidR="008E15F9" w:rsidRPr="008E15F9" w:rsidRDefault="008E15F9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7686A4E2" w14:textId="528DF580" w:rsidR="008E15F9" w:rsidRPr="001637FB" w:rsidRDefault="008E15F9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Calendario de mantenimiento programado</w:t>
            </w:r>
          </w:p>
        </w:tc>
        <w:tc>
          <w:tcPr>
            <w:tcW w:w="6516" w:type="dxa"/>
          </w:tcPr>
          <w:p w14:paraId="26706E8F" w14:textId="560E9859" w:rsidR="008E15F9" w:rsidRPr="001637FB" w:rsidRDefault="008E15F9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Consulte archivo descargable en la sección Calendario de Mantenimiento Programado</w:t>
            </w:r>
            <w:r w:rsidR="00986E44" w:rsidRPr="001637FB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8E15F9" w:rsidRPr="00326ADD" w14:paraId="3C19FCD5" w14:textId="77777777" w:rsidTr="00F07D83">
        <w:tc>
          <w:tcPr>
            <w:tcW w:w="562" w:type="dxa"/>
          </w:tcPr>
          <w:p w14:paraId="45E30426" w14:textId="1A4F7F4A" w:rsidR="008E15F9" w:rsidRPr="008E15F9" w:rsidRDefault="008E15F9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69" w:type="dxa"/>
            <w:tcMar>
              <w:right w:w="0" w:type="dxa"/>
            </w:tcMar>
          </w:tcPr>
          <w:p w14:paraId="3122FDFF" w14:textId="71B4E3B2" w:rsidR="008E15F9" w:rsidRPr="001637FB" w:rsidRDefault="008E15F9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Volúmenes y calidad de los productos almacenados, inyectados y extraídos </w:t>
            </w:r>
            <w:r w:rsidR="002C173D" w:rsidRPr="001637FB">
              <w:rPr>
                <w:rFonts w:ascii="Arial Narrow" w:hAnsi="Arial Narrow"/>
                <w:sz w:val="19"/>
                <w:szCs w:val="19"/>
              </w:rPr>
              <w:t>d</w:t>
            </w:r>
            <w:r w:rsidRPr="001637FB">
              <w:rPr>
                <w:rFonts w:ascii="Arial Narrow" w:hAnsi="Arial Narrow"/>
                <w:sz w:val="19"/>
                <w:szCs w:val="19"/>
              </w:rPr>
              <w:t>el mes previo</w:t>
            </w:r>
          </w:p>
        </w:tc>
        <w:tc>
          <w:tcPr>
            <w:tcW w:w="6516" w:type="dxa"/>
          </w:tcPr>
          <w:p w14:paraId="2676F176" w14:textId="795614F7" w:rsidR="008E15F9" w:rsidRPr="001637FB" w:rsidRDefault="008E15F9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Consulte Archivo Descargable en Sección Operación Mensual</w:t>
            </w:r>
          </w:p>
        </w:tc>
      </w:tr>
      <w:tr w:rsidR="00F16DAF" w:rsidRPr="00326ADD" w14:paraId="274B7060" w14:textId="77777777" w:rsidTr="00F07D83">
        <w:tc>
          <w:tcPr>
            <w:tcW w:w="562" w:type="dxa"/>
          </w:tcPr>
          <w:p w14:paraId="26EBD52D" w14:textId="4461110A" w:rsidR="00F16DAF" w:rsidRPr="008E15F9" w:rsidRDefault="00F16DAF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1</w:t>
            </w:r>
            <w:r w:rsidR="005D3A2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405DF5E4" w14:textId="77777777" w:rsidR="00F16DAF" w:rsidRPr="001637FB" w:rsidRDefault="00F16DAF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Información sobre una Alerta Crítica o emergencia en la Terminal</w:t>
            </w:r>
          </w:p>
        </w:tc>
        <w:tc>
          <w:tcPr>
            <w:tcW w:w="6516" w:type="dxa"/>
          </w:tcPr>
          <w:p w14:paraId="6FAEFDCC" w14:textId="77777777" w:rsidR="00F16DAF" w:rsidRPr="001637FB" w:rsidRDefault="00F16DAF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 xml:space="preserve">Se notificará en caso de existir. </w:t>
            </w:r>
          </w:p>
        </w:tc>
      </w:tr>
      <w:tr w:rsidR="008E15F9" w:rsidRPr="00326ADD" w14:paraId="09DED5B2" w14:textId="77777777" w:rsidTr="00F07D83">
        <w:tc>
          <w:tcPr>
            <w:tcW w:w="562" w:type="dxa"/>
          </w:tcPr>
          <w:p w14:paraId="5089FEB8" w14:textId="1ABBB135" w:rsidR="008E15F9" w:rsidRPr="008E15F9" w:rsidRDefault="008E15F9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1</w:t>
            </w:r>
            <w:r w:rsidR="005D3A2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58FDC437" w14:textId="232BD5C2" w:rsidR="008E15F9" w:rsidRPr="001637FB" w:rsidRDefault="008E15F9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Descripción de los mecanismos para la atención inmediata de Emergencias</w:t>
            </w:r>
          </w:p>
        </w:tc>
        <w:tc>
          <w:tcPr>
            <w:tcW w:w="6516" w:type="dxa"/>
          </w:tcPr>
          <w:p w14:paraId="1A5D56FD" w14:textId="3FB56DD8" w:rsidR="008E15F9" w:rsidRPr="001637FB" w:rsidRDefault="00C74022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En caso de cualquier alerta crítica o emergencia que comprometa la seguridad de las personas y/o de la Terminal, el almacenista interviene de forma inmediata en la situación de conformidad con las Prácticas Prudentes de la Industria (incluyendo aquellas aprobadas por la Agencia Nacional de Seguridad Industria y Protección al Medio Ambiente del Sector de Hidrocarburos).</w:t>
            </w:r>
          </w:p>
        </w:tc>
      </w:tr>
      <w:tr w:rsidR="008E15F9" w:rsidRPr="00326ADD" w14:paraId="4BC92257" w14:textId="77777777" w:rsidTr="00F07D83">
        <w:trPr>
          <w:trHeight w:val="435"/>
        </w:trPr>
        <w:tc>
          <w:tcPr>
            <w:tcW w:w="562" w:type="dxa"/>
          </w:tcPr>
          <w:p w14:paraId="7AF264EA" w14:textId="392384AC" w:rsidR="008E15F9" w:rsidRPr="008E15F9" w:rsidRDefault="008E15F9" w:rsidP="00CB188A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8E15F9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4016509B" w14:textId="555DB728" w:rsidR="008E15F9" w:rsidRPr="001637FB" w:rsidRDefault="008E15F9" w:rsidP="00CB188A">
            <w:pPr>
              <w:spacing w:after="20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Otros Avisos e información adicional</w:t>
            </w:r>
          </w:p>
        </w:tc>
        <w:tc>
          <w:tcPr>
            <w:tcW w:w="6516" w:type="dxa"/>
          </w:tcPr>
          <w:p w14:paraId="331F1DDB" w14:textId="4DE26E36" w:rsidR="008E15F9" w:rsidRPr="001637FB" w:rsidRDefault="008E15F9" w:rsidP="00CB188A">
            <w:pPr>
              <w:spacing w:after="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37FB">
              <w:rPr>
                <w:rFonts w:ascii="Arial Narrow" w:hAnsi="Arial Narrow"/>
                <w:sz w:val="19"/>
                <w:szCs w:val="19"/>
              </w:rPr>
              <w:t>Se notificará en caso de existir.</w:t>
            </w:r>
          </w:p>
        </w:tc>
      </w:tr>
    </w:tbl>
    <w:p w14:paraId="21319566" w14:textId="4E46217C" w:rsidR="00F07D83" w:rsidRDefault="00F07D83" w:rsidP="00F07D83">
      <w:pPr>
        <w:tabs>
          <w:tab w:val="left" w:pos="1365"/>
          <w:tab w:val="left" w:pos="4035"/>
        </w:tabs>
        <w:spacing w:after="0"/>
      </w:pPr>
    </w:p>
    <w:p w14:paraId="737F6C1C" w14:textId="77777777" w:rsidR="00F07D83" w:rsidRPr="004107D1" w:rsidRDefault="00F07D83" w:rsidP="00F07D83">
      <w:pPr>
        <w:tabs>
          <w:tab w:val="left" w:pos="1365"/>
          <w:tab w:val="left" w:pos="4035"/>
        </w:tabs>
        <w:spacing w:after="0"/>
      </w:pPr>
    </w:p>
    <w:sectPr w:rsidR="00F07D83" w:rsidRPr="004107D1" w:rsidSect="001637FB">
      <w:headerReference w:type="default" r:id="rId13"/>
      <w:footerReference w:type="default" r:id="rId14"/>
      <w:pgSz w:w="12240" w:h="15840"/>
      <w:pgMar w:top="445" w:right="616" w:bottom="709" w:left="567" w:header="42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52A5" w14:textId="77777777" w:rsidR="000B338F" w:rsidRDefault="000B338F" w:rsidP="00152B70">
      <w:pPr>
        <w:spacing w:after="0" w:line="240" w:lineRule="auto"/>
      </w:pPr>
      <w:r>
        <w:separator/>
      </w:r>
    </w:p>
  </w:endnote>
  <w:endnote w:type="continuationSeparator" w:id="0">
    <w:p w14:paraId="6FFF6AEB" w14:textId="77777777" w:rsidR="000B338F" w:rsidRDefault="000B338F" w:rsidP="0015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266C" w14:textId="742520DD" w:rsidR="004B0A33" w:rsidRPr="00EB6DDD" w:rsidRDefault="004B0A33" w:rsidP="003B40AE">
    <w:pPr>
      <w:tabs>
        <w:tab w:val="center" w:pos="4550"/>
        <w:tab w:val="left" w:pos="5818"/>
      </w:tabs>
      <w:ind w:right="260"/>
      <w:jc w:val="cen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D115" w14:textId="77777777" w:rsidR="000B338F" w:rsidRDefault="000B338F" w:rsidP="00152B70">
      <w:pPr>
        <w:spacing w:after="0" w:line="240" w:lineRule="auto"/>
      </w:pPr>
      <w:r>
        <w:separator/>
      </w:r>
    </w:p>
  </w:footnote>
  <w:footnote w:type="continuationSeparator" w:id="0">
    <w:p w14:paraId="7C8EB6C9" w14:textId="77777777" w:rsidR="000B338F" w:rsidRDefault="000B338F" w:rsidP="0015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FBB3" w14:textId="1BFC6E8C" w:rsidR="00152B70" w:rsidRPr="00152B70" w:rsidRDefault="00152B70" w:rsidP="00152B70">
    <w:pPr>
      <w:pStyle w:val="Encabezado"/>
      <w:jc w:val="right"/>
      <w:rPr>
        <w:b/>
        <w:bCs/>
      </w:rPr>
    </w:pPr>
    <w:r w:rsidRPr="00152B70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E29BE56" wp14:editId="6277BC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536" cy="432339"/>
          <wp:effectExtent l="0" t="0" r="0" b="0"/>
          <wp:wrapNone/>
          <wp:docPr id="41574983" name="Imagen 41574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logo itzo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36" cy="432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B70">
      <w:rPr>
        <w:b/>
        <w:bCs/>
      </w:rPr>
      <w:t>BOLETIN ELECTRONICO DE LA TERMINAL</w:t>
    </w:r>
  </w:p>
  <w:p w14:paraId="3C3CE66F" w14:textId="77777777" w:rsidR="00152B70" w:rsidRPr="00152B70" w:rsidRDefault="00152B70" w:rsidP="00152B70">
    <w:pPr>
      <w:pStyle w:val="Encabezado"/>
      <w:jc w:val="right"/>
      <w:rPr>
        <w:b/>
        <w:bCs/>
      </w:rPr>
    </w:pPr>
    <w:r w:rsidRPr="00152B70">
      <w:rPr>
        <w:b/>
        <w:bCs/>
      </w:rPr>
      <w:t>INVEX INFRAESTRUCTURA 4, S.A.P.I. DE C.V.</w:t>
    </w:r>
  </w:p>
  <w:p w14:paraId="15C66A4B" w14:textId="6991DDF2" w:rsidR="00152B70" w:rsidRPr="00152B70" w:rsidRDefault="00152B70" w:rsidP="00152B70">
    <w:pPr>
      <w:pStyle w:val="Encabezado"/>
      <w:jc w:val="right"/>
      <w:rPr>
        <w:b/>
        <w:bCs/>
      </w:rPr>
    </w:pPr>
    <w:r w:rsidRPr="00152B70">
      <w:rPr>
        <w:b/>
        <w:bCs/>
      </w:rPr>
      <w:t>No. PERMISO: PL/20464/ALM/2017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70"/>
    <w:rsid w:val="00006152"/>
    <w:rsid w:val="00015855"/>
    <w:rsid w:val="00044F71"/>
    <w:rsid w:val="00057632"/>
    <w:rsid w:val="000718C2"/>
    <w:rsid w:val="000826FA"/>
    <w:rsid w:val="00095F29"/>
    <w:rsid w:val="000A7861"/>
    <w:rsid w:val="000B338F"/>
    <w:rsid w:val="000C15B7"/>
    <w:rsid w:val="000C4A79"/>
    <w:rsid w:val="000D28FF"/>
    <w:rsid w:val="000D2B04"/>
    <w:rsid w:val="000E7F27"/>
    <w:rsid w:val="000F4C0D"/>
    <w:rsid w:val="00103686"/>
    <w:rsid w:val="0012319E"/>
    <w:rsid w:val="00127BBF"/>
    <w:rsid w:val="00130E9F"/>
    <w:rsid w:val="00136BC1"/>
    <w:rsid w:val="00152B70"/>
    <w:rsid w:val="001637FB"/>
    <w:rsid w:val="0017731B"/>
    <w:rsid w:val="00194675"/>
    <w:rsid w:val="00197BB0"/>
    <w:rsid w:val="001B2DD6"/>
    <w:rsid w:val="001B6205"/>
    <w:rsid w:val="001D062A"/>
    <w:rsid w:val="001D08F8"/>
    <w:rsid w:val="001D30A4"/>
    <w:rsid w:val="00225B41"/>
    <w:rsid w:val="002420CD"/>
    <w:rsid w:val="002452D4"/>
    <w:rsid w:val="00245D40"/>
    <w:rsid w:val="00257BAB"/>
    <w:rsid w:val="00271D7C"/>
    <w:rsid w:val="002822AC"/>
    <w:rsid w:val="00283587"/>
    <w:rsid w:val="00291E01"/>
    <w:rsid w:val="00296EC5"/>
    <w:rsid w:val="002B2126"/>
    <w:rsid w:val="002B7431"/>
    <w:rsid w:val="002C173D"/>
    <w:rsid w:val="002C5C99"/>
    <w:rsid w:val="002D1521"/>
    <w:rsid w:val="002E4C86"/>
    <w:rsid w:val="002F21C6"/>
    <w:rsid w:val="002F4CF9"/>
    <w:rsid w:val="00300A0F"/>
    <w:rsid w:val="00326ADD"/>
    <w:rsid w:val="00340A79"/>
    <w:rsid w:val="00345261"/>
    <w:rsid w:val="00350D79"/>
    <w:rsid w:val="00351155"/>
    <w:rsid w:val="0035134A"/>
    <w:rsid w:val="00351C87"/>
    <w:rsid w:val="00351F26"/>
    <w:rsid w:val="003602CE"/>
    <w:rsid w:val="00362CFA"/>
    <w:rsid w:val="003831DE"/>
    <w:rsid w:val="0039627B"/>
    <w:rsid w:val="00396AD1"/>
    <w:rsid w:val="0039733D"/>
    <w:rsid w:val="003A65AE"/>
    <w:rsid w:val="003B40AE"/>
    <w:rsid w:val="003B4E40"/>
    <w:rsid w:val="003D477D"/>
    <w:rsid w:val="003E7592"/>
    <w:rsid w:val="0040565F"/>
    <w:rsid w:val="004107D1"/>
    <w:rsid w:val="00414974"/>
    <w:rsid w:val="00427575"/>
    <w:rsid w:val="004357B2"/>
    <w:rsid w:val="00484999"/>
    <w:rsid w:val="004868A6"/>
    <w:rsid w:val="004B0A33"/>
    <w:rsid w:val="00503515"/>
    <w:rsid w:val="00504185"/>
    <w:rsid w:val="00543FF5"/>
    <w:rsid w:val="00552A56"/>
    <w:rsid w:val="0056081F"/>
    <w:rsid w:val="0058282B"/>
    <w:rsid w:val="00587F07"/>
    <w:rsid w:val="005C43B4"/>
    <w:rsid w:val="005D3A2E"/>
    <w:rsid w:val="005F06BD"/>
    <w:rsid w:val="00607262"/>
    <w:rsid w:val="00610635"/>
    <w:rsid w:val="00620412"/>
    <w:rsid w:val="00624D18"/>
    <w:rsid w:val="00625FC6"/>
    <w:rsid w:val="00634D31"/>
    <w:rsid w:val="0064014C"/>
    <w:rsid w:val="00645EBA"/>
    <w:rsid w:val="00671F4C"/>
    <w:rsid w:val="00672E99"/>
    <w:rsid w:val="00675D0C"/>
    <w:rsid w:val="006B46B3"/>
    <w:rsid w:val="006D09DB"/>
    <w:rsid w:val="006F5963"/>
    <w:rsid w:val="00700E39"/>
    <w:rsid w:val="00701CC9"/>
    <w:rsid w:val="0070481B"/>
    <w:rsid w:val="00723A39"/>
    <w:rsid w:val="00732AF7"/>
    <w:rsid w:val="007344E3"/>
    <w:rsid w:val="00756B31"/>
    <w:rsid w:val="007633A7"/>
    <w:rsid w:val="007932DC"/>
    <w:rsid w:val="007A744D"/>
    <w:rsid w:val="007F085A"/>
    <w:rsid w:val="00802B15"/>
    <w:rsid w:val="0080696E"/>
    <w:rsid w:val="00821B69"/>
    <w:rsid w:val="00840E1E"/>
    <w:rsid w:val="00850E01"/>
    <w:rsid w:val="008618AD"/>
    <w:rsid w:val="00873953"/>
    <w:rsid w:val="008B3B9F"/>
    <w:rsid w:val="008C0252"/>
    <w:rsid w:val="008C2475"/>
    <w:rsid w:val="008C5A15"/>
    <w:rsid w:val="008E15F9"/>
    <w:rsid w:val="008F5BB4"/>
    <w:rsid w:val="009129B8"/>
    <w:rsid w:val="00931CF1"/>
    <w:rsid w:val="00946893"/>
    <w:rsid w:val="0097282A"/>
    <w:rsid w:val="00986E44"/>
    <w:rsid w:val="009A1049"/>
    <w:rsid w:val="009A16A4"/>
    <w:rsid w:val="009C1B17"/>
    <w:rsid w:val="009C63A3"/>
    <w:rsid w:val="00A12E03"/>
    <w:rsid w:val="00A21102"/>
    <w:rsid w:val="00A256B1"/>
    <w:rsid w:val="00A61A4D"/>
    <w:rsid w:val="00A646E7"/>
    <w:rsid w:val="00A77497"/>
    <w:rsid w:val="00A829C3"/>
    <w:rsid w:val="00AC2B7A"/>
    <w:rsid w:val="00AD36C2"/>
    <w:rsid w:val="00AF51E7"/>
    <w:rsid w:val="00B27AEE"/>
    <w:rsid w:val="00B32B83"/>
    <w:rsid w:val="00B37E1F"/>
    <w:rsid w:val="00B57464"/>
    <w:rsid w:val="00B76E84"/>
    <w:rsid w:val="00B80075"/>
    <w:rsid w:val="00B848AA"/>
    <w:rsid w:val="00B91A03"/>
    <w:rsid w:val="00BA5AD1"/>
    <w:rsid w:val="00BC2ED6"/>
    <w:rsid w:val="00BC5543"/>
    <w:rsid w:val="00BD175F"/>
    <w:rsid w:val="00BD2B3C"/>
    <w:rsid w:val="00BD3187"/>
    <w:rsid w:val="00BE4DB4"/>
    <w:rsid w:val="00BF26C0"/>
    <w:rsid w:val="00C05B84"/>
    <w:rsid w:val="00C13350"/>
    <w:rsid w:val="00C40813"/>
    <w:rsid w:val="00C56F16"/>
    <w:rsid w:val="00C61A42"/>
    <w:rsid w:val="00C74022"/>
    <w:rsid w:val="00C83A35"/>
    <w:rsid w:val="00CA3043"/>
    <w:rsid w:val="00CB188A"/>
    <w:rsid w:val="00CB476C"/>
    <w:rsid w:val="00CC2B66"/>
    <w:rsid w:val="00CF1F1D"/>
    <w:rsid w:val="00D01401"/>
    <w:rsid w:val="00D03478"/>
    <w:rsid w:val="00D11B9A"/>
    <w:rsid w:val="00D2124D"/>
    <w:rsid w:val="00D348CD"/>
    <w:rsid w:val="00D50007"/>
    <w:rsid w:val="00D66E57"/>
    <w:rsid w:val="00D91FD2"/>
    <w:rsid w:val="00DA2C44"/>
    <w:rsid w:val="00DA7489"/>
    <w:rsid w:val="00DB5A5A"/>
    <w:rsid w:val="00E11231"/>
    <w:rsid w:val="00E13A64"/>
    <w:rsid w:val="00E2330F"/>
    <w:rsid w:val="00E27CFF"/>
    <w:rsid w:val="00E32589"/>
    <w:rsid w:val="00E363B9"/>
    <w:rsid w:val="00E568C5"/>
    <w:rsid w:val="00E56E00"/>
    <w:rsid w:val="00E61DF6"/>
    <w:rsid w:val="00E65959"/>
    <w:rsid w:val="00E85160"/>
    <w:rsid w:val="00E9493C"/>
    <w:rsid w:val="00EB0F59"/>
    <w:rsid w:val="00EB6D6B"/>
    <w:rsid w:val="00EB6DDD"/>
    <w:rsid w:val="00EE073A"/>
    <w:rsid w:val="00EE57FF"/>
    <w:rsid w:val="00EE5DB9"/>
    <w:rsid w:val="00F07D83"/>
    <w:rsid w:val="00F16DAF"/>
    <w:rsid w:val="00F24D1B"/>
    <w:rsid w:val="00F52D31"/>
    <w:rsid w:val="00F70985"/>
    <w:rsid w:val="00F85F2E"/>
    <w:rsid w:val="00FA1F18"/>
    <w:rsid w:val="00FA3C26"/>
    <w:rsid w:val="00FA45AF"/>
    <w:rsid w:val="00FB6435"/>
    <w:rsid w:val="00FC5688"/>
    <w:rsid w:val="00FE7ABC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F6EC"/>
  <w15:chartTrackingRefBased/>
  <w15:docId w15:val="{AFDDA323-DA6F-450F-8D1C-99C4CA3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B70"/>
  </w:style>
  <w:style w:type="paragraph" w:styleId="Piedepgina">
    <w:name w:val="footer"/>
    <w:basedOn w:val="Normal"/>
    <w:link w:val="PiedepginaCar"/>
    <w:uiPriority w:val="99"/>
    <w:unhideWhenUsed/>
    <w:rsid w:val="00152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B70"/>
  </w:style>
  <w:style w:type="table" w:styleId="Tablaconcuadrcula">
    <w:name w:val="Table Grid"/>
    <w:basedOn w:val="Tablanormal"/>
    <w:uiPriority w:val="39"/>
    <w:rsid w:val="001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3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3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3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3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319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0A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0A0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51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lvelais@itzo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o@itzo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tacto@itzo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C524B233C234487CF81C43EDA002D" ma:contentTypeVersion="9" ma:contentTypeDescription="Create a new document." ma:contentTypeScope="" ma:versionID="494dc680584f1818b8dc1bcf15e3b6b2">
  <xsd:schema xmlns:xsd="http://www.w3.org/2001/XMLSchema" xmlns:xs="http://www.w3.org/2001/XMLSchema" xmlns:p="http://schemas.microsoft.com/office/2006/metadata/properties" xmlns:ns1="http://schemas.microsoft.com/sharepoint/v3" xmlns:ns2="ad9f4292-b2cf-4038-88e4-f0a40cc0ef85" xmlns:ns3="ee5acb78-0589-44df-a212-a075a92e6926" targetNamespace="http://schemas.microsoft.com/office/2006/metadata/properties" ma:root="true" ma:fieldsID="18ad652564509f0b99e5b05e241d95d4" ns1:_="" ns2:_="" ns3:_="">
    <xsd:import namespace="http://schemas.microsoft.com/sharepoint/v3"/>
    <xsd:import namespace="ad9f4292-b2cf-4038-88e4-f0a40cc0ef85"/>
    <xsd:import namespace="ee5acb78-0589-44df-a212-a075a92e6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f4292-b2cf-4038-88e4-f0a40cc0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cb78-0589-44df-a212-a075a92e6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1FDA-B0A4-448A-9231-02AEA339C5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B9F03A-7A7D-4E77-8B10-A6622FD5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9f4292-b2cf-4038-88e4-f0a40cc0ef85"/>
    <ds:schemaRef ds:uri="ee5acb78-0589-44df-a212-a075a92e6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BC367-FE36-4A80-96CA-1B5B2935A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C497D-B809-4CE0-893D-20423E1D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Armando Portela González</dc:creator>
  <cp:keywords/>
  <dc:description/>
  <cp:lastModifiedBy>Rocío Alejandra Ochoa Macías</cp:lastModifiedBy>
  <cp:revision>2</cp:revision>
  <cp:lastPrinted>2023-05-02T18:47:00Z</cp:lastPrinted>
  <dcterms:created xsi:type="dcterms:W3CDTF">2023-07-05T00:17:00Z</dcterms:created>
  <dcterms:modified xsi:type="dcterms:W3CDTF">2023-07-05T00:17:00Z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0x010100D03C524B233C234487CF81C43EDA002D</vt:lpwstr>
  </property>
</Properties>
</file>